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8768B1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End w:id="0"/>
      <w:r w:rsidRPr="008768B1">
        <w:rPr>
          <w:sz w:val="18"/>
          <w:szCs w:val="18"/>
        </w:rPr>
        <w:t>Форма 2. Сведения о многоквартирном доме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управление которым осуществляет управляющая организация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товарищество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кооператив (заполняется по каждому многоквартирному дому)</w:t>
      </w:r>
    </w:p>
    <w:p w:rsidR="002843BD" w:rsidRPr="008768B1" w:rsidRDefault="002843BD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bookmarkStart w:id="1" w:name="Par815"/>
      <w:bookmarkEnd w:id="1"/>
      <w:r w:rsidRPr="008768B1">
        <w:rPr>
          <w:sz w:val="18"/>
          <w:szCs w:val="18"/>
        </w:rPr>
        <w:t>Форма 2.1. Общие сведения о многоквартирном доме</w:t>
      </w:r>
    </w:p>
    <w:p w:rsidR="00F930A9" w:rsidRPr="008768B1" w:rsidRDefault="00F930A9" w:rsidP="00F930A9">
      <w:pPr>
        <w:rPr>
          <w:rFonts w:ascii="Arial" w:hAnsi="Arial" w:cs="Arial"/>
          <w:b/>
          <w:sz w:val="18"/>
          <w:szCs w:val="18"/>
        </w:rPr>
      </w:pPr>
      <w:r w:rsidRPr="008768B1">
        <w:rPr>
          <w:rFonts w:ascii="Arial" w:hAnsi="Arial" w:cs="Arial"/>
          <w:b/>
          <w:sz w:val="18"/>
          <w:szCs w:val="18"/>
        </w:rPr>
        <w:t>Шатова 8а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F930A9" w:rsidRPr="008768B1" w:rsidTr="00C77DEF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Документ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ПРОТОКОЛ </w:t>
            </w:r>
          </w:p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рассмотрения заявок на участие в открытом конкурсе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26.12.2014</w:t>
            </w:r>
          </w:p>
          <w:p w:rsidR="00F930A9" w:rsidRPr="008768B1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873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документа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01.01.2015г.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01.01.2015г.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8768B1" w:rsidTr="00C77DE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способ формирования фонда капитального ремонта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2005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N 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ст. 14; 2015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N 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F930A9" w:rsidRPr="008768B1" w:rsidTr="00C77DE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субъекта Российской Федерации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муниципального района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города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иного населенного пункта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улицы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 дома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при необходимости указывается корпус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строение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Населенный пункт (наименование города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поселка городского типа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населенного пункта регионального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Данные ФИАС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Серия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Серия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Железобетонный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монолитный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</w:t>
            </w:r>
          </w:p>
          <w:p w:rsidR="00F930A9" w:rsidRPr="008768B1" w:rsidRDefault="00F930A9" w:rsidP="0091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  <w:lang w:val="en-US"/>
              </w:rPr>
            </w:pPr>
            <w:r w:rsidRPr="008768B1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269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нежилых помещений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площадь дома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22906.9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площадь дома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определяемая как сумма общей площади всех жилых и нежилых помещений в многоквартирном доме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балконов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лоджий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веранд и террас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а также площади помещений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15252.3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- общая площадь </w:t>
            </w:r>
            <w:r w:rsidRPr="008768B1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Общая площадь </w:t>
            </w:r>
            <w:r w:rsidRPr="008768B1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4350.2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8768B1">
              <w:rPr>
                <w:sz w:val="18"/>
                <w:szCs w:val="18"/>
              </w:rPr>
              <w:lastRenderedPageBreak/>
              <w:t>помещений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общая площадь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площадь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6956.1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площадь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Кадастровый номер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Кадастровый номер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27:23:00000001251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кадастровый номер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расположен многоквартирный дом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10670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площадь земельного участка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входящего в состав общего имущества в многоквартирном доме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включая площадь земельного участка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 котором расположен многоквартирный дом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и площадь придомового земельного участка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В случае если поле "Факт признания </w:t>
            </w:r>
            <w:r w:rsidRPr="008768B1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F930A9" w:rsidRPr="008768B1" w:rsidTr="00C77DE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факт наличия детской площадки для многоквартирного дома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факт наличия спортивной площадки для многоквартирного дома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8768B1" w:rsidTr="00C77DE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8768B1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F930A9" w:rsidRPr="008768B1" w:rsidRDefault="00F930A9" w:rsidP="00F930A9">
      <w:pPr>
        <w:rPr>
          <w:rFonts w:ascii="Arial" w:hAnsi="Arial" w:cs="Arial"/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Форма 2.2. Сведения об основных конструктивных элементах многоквартирного дома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оборудовании и системах инженерно-технического обеспечения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входящих в состав общего имущества в многоквартирном доме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8768B1" w:rsidTr="005525E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Железобетонные сваи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монолитный железобетонный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Стены и перекрытия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Железобетонные монолитные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утеплённые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облицовочный кирпич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Рулонная с организованным водостоком (с техническим этажом)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Подвал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Мусоропроводы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</w:t>
            </w:r>
            <w:r w:rsidR="00506D86" w:rsidRPr="008768B1">
              <w:rPr>
                <w:sz w:val="18"/>
                <w:szCs w:val="18"/>
              </w:rPr>
              <w:t>.</w:t>
            </w:r>
            <w:r w:rsidR="00A90AC7" w:rsidRPr="008768B1">
              <w:rPr>
                <w:sz w:val="18"/>
                <w:szCs w:val="18"/>
              </w:rPr>
              <w:t xml:space="preserve"> 2</w:t>
            </w:r>
            <w:r w:rsidR="00506D86" w:rsidRPr="008768B1">
              <w:rPr>
                <w:sz w:val="18"/>
                <w:szCs w:val="18"/>
              </w:rPr>
              <w:t>.</w:t>
            </w:r>
            <w:r w:rsidR="00A90AC7" w:rsidRPr="008768B1">
              <w:rPr>
                <w:sz w:val="18"/>
                <w:szCs w:val="18"/>
              </w:rPr>
              <w:t xml:space="preserve"> 3</w:t>
            </w:r>
            <w:r w:rsidR="00506D86" w:rsidRPr="008768B1">
              <w:rPr>
                <w:sz w:val="18"/>
                <w:szCs w:val="18"/>
              </w:rPr>
              <w:t>.</w:t>
            </w:r>
            <w:r w:rsidR="00A90AC7" w:rsidRPr="008768B1">
              <w:rPr>
                <w:sz w:val="18"/>
                <w:szCs w:val="18"/>
              </w:rPr>
              <w:t xml:space="preserve"> 4</w:t>
            </w:r>
            <w:r w:rsidR="00506D86" w:rsidRPr="008768B1">
              <w:rPr>
                <w:sz w:val="18"/>
                <w:szCs w:val="18"/>
              </w:rPr>
              <w:t>.</w:t>
            </w:r>
            <w:r w:rsidR="00A90AC7" w:rsidRPr="008768B1">
              <w:rPr>
                <w:sz w:val="18"/>
                <w:szCs w:val="18"/>
              </w:rPr>
              <w:t xml:space="preserve"> 5</w:t>
            </w:r>
            <w:r w:rsidR="00506D86" w:rsidRPr="008768B1">
              <w:rPr>
                <w:sz w:val="18"/>
                <w:szCs w:val="18"/>
              </w:rPr>
              <w:t>.</w:t>
            </w:r>
            <w:r w:rsidR="00A90AC7" w:rsidRPr="008768B1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подъезда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A90AC7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768B1">
              <w:rPr>
                <w:rFonts w:ascii="Arial" w:eastAsia="Arial" w:hAnsi="Arial" w:cs="Arial"/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A90AC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теплоснабжения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водоотведения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газоснабжения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вентиляции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пожаротушения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Система водостоков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5525E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иных услугах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525E3" w:rsidRPr="008768B1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525E3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525E3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525E3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 Содержание помещений общего пользования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2. Содержание земельного участка</w:t>
            </w:r>
            <w:proofErr w:type="gramStart"/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768B1">
              <w:rPr>
                <w:rFonts w:ascii="Arial" w:hAnsi="Arial" w:cs="Arial"/>
                <w:sz w:val="18"/>
                <w:szCs w:val="18"/>
              </w:rPr>
              <w:t xml:space="preserve"> входящего </w:t>
            </w:r>
            <w:r w:rsidRPr="008768B1">
              <w:rPr>
                <w:rFonts w:ascii="Arial" w:hAnsi="Arial" w:cs="Arial"/>
                <w:sz w:val="18"/>
                <w:szCs w:val="18"/>
              </w:rPr>
              <w:lastRenderedPageBreak/>
              <w:t>в состав общего имущества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3. Подготовка здания и внутридомовых инженерных сетей к сезонной эксплуатации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4. Техническое обслуживание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 xml:space="preserve"> устранение неисправностей и наладка внутридомовых инженерных сетей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 xml:space="preserve"> оборудования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5. Проведение технических осмотров элементов здания и внутридомовых инженерных сетей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6. Аварийно-диспетчерское обслуживание населения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 xml:space="preserve"> устранение неисправностей</w:t>
            </w:r>
            <w:proofErr w:type="gramStart"/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768B1">
              <w:rPr>
                <w:rFonts w:ascii="Arial" w:hAnsi="Arial" w:cs="Arial"/>
                <w:sz w:val="18"/>
                <w:szCs w:val="18"/>
              </w:rPr>
              <w:t xml:space="preserve"> препятствующих нормальной эксплуатации здания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7. Прочие услуги по управлению МКД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8. Текущий ремонт имущества МКД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525E3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1. 105088.347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2. 128881.935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3. 22725.927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4. 102342.933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5. 17235.099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6. 27911.709</w:t>
            </w:r>
          </w:p>
          <w:p w:rsidR="005525E3" w:rsidRPr="008768B1" w:rsidRDefault="005525E3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7. 100970.226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5E3" w:rsidRPr="008768B1" w:rsidRDefault="005525E3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525E3" w:rsidRPr="008768B1" w:rsidRDefault="005525E3" w:rsidP="005525E3"/>
    <w:p w:rsidR="005E584C" w:rsidRPr="008768B1" w:rsidRDefault="005E584C" w:rsidP="005E584C">
      <w:pPr>
        <w:pStyle w:val="ConsPlusDocList"/>
        <w:rPr>
          <w:sz w:val="18"/>
          <w:szCs w:val="18"/>
        </w:rPr>
      </w:pPr>
      <w:r w:rsidRPr="008768B1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5B6399" w:rsidRPr="008768B1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8768B1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Руб</w:t>
            </w:r>
            <w:proofErr w:type="spellEnd"/>
            <w:r w:rsidRPr="008768B1">
              <w:rPr>
                <w:sz w:val="18"/>
                <w:szCs w:val="18"/>
              </w:rPr>
              <w:t xml:space="preserve">/ </w:t>
            </w:r>
            <w:proofErr w:type="spellStart"/>
            <w:r w:rsidRPr="008768B1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Одноставочный</w:t>
            </w:r>
            <w:proofErr w:type="spellEnd"/>
            <w:r w:rsidRPr="008768B1">
              <w:rPr>
                <w:sz w:val="18"/>
                <w:szCs w:val="18"/>
              </w:rPr>
              <w:t xml:space="preserve"> тариф 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71</w:t>
            </w:r>
          </w:p>
          <w:p w:rsidR="005B6399" w:rsidRPr="008768B1" w:rsidRDefault="005B6399" w:rsidP="005B6399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тариф (цена)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установленный в соответствии с законодательством Российской Федерации о государственном </w:t>
            </w:r>
            <w:r w:rsidRPr="008768B1">
              <w:rPr>
                <w:sz w:val="18"/>
                <w:szCs w:val="18"/>
              </w:rPr>
              <w:lastRenderedPageBreak/>
              <w:t>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Одноставочный</w:t>
            </w:r>
            <w:proofErr w:type="spellEnd"/>
            <w:r w:rsidRPr="008768B1">
              <w:rPr>
                <w:sz w:val="18"/>
                <w:szCs w:val="18"/>
              </w:rPr>
              <w:t xml:space="preserve"> тариф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</w:t>
            </w:r>
            <w:proofErr w:type="spellStart"/>
            <w:r w:rsidRPr="008768B1">
              <w:rPr>
                <w:sz w:val="18"/>
                <w:szCs w:val="18"/>
              </w:rPr>
              <w:t>дифферинцированный</w:t>
            </w:r>
            <w:proofErr w:type="spellEnd"/>
            <w:r w:rsidRPr="008768B1">
              <w:rPr>
                <w:sz w:val="18"/>
                <w:szCs w:val="18"/>
              </w:rPr>
              <w:t xml:space="preserve"> по двум зонам суток:</w:t>
            </w:r>
          </w:p>
          <w:p w:rsidR="005B6399" w:rsidRPr="008768B1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Дневная зона -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8B1">
              <w:rPr>
                <w:rFonts w:ascii="Arial" w:hAnsi="Arial" w:cs="Arial"/>
                <w:sz w:val="18"/>
                <w:szCs w:val="18"/>
              </w:rPr>
              <w:t>2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>94</w:t>
            </w:r>
          </w:p>
          <w:p w:rsidR="005B6399" w:rsidRPr="008768B1" w:rsidRDefault="005B6399" w:rsidP="005B6399">
            <w:r w:rsidRPr="008768B1">
              <w:rPr>
                <w:rFonts w:ascii="Arial" w:hAnsi="Arial" w:cs="Arial"/>
                <w:sz w:val="18"/>
                <w:szCs w:val="18"/>
              </w:rPr>
              <w:t>Ночная зона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8B1">
              <w:rPr>
                <w:rFonts w:ascii="Arial" w:hAnsi="Arial" w:cs="Arial"/>
                <w:sz w:val="18"/>
                <w:szCs w:val="18"/>
              </w:rPr>
              <w:t>- 0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Лицо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ОАО «Дальневосточная энергетическая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полное фирменное наименование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2723088770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ИНН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7140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тариф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17.12.2014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40/1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 края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01.07.2015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3907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584"/>
              <w:gridCol w:w="584"/>
              <w:gridCol w:w="584"/>
              <w:gridCol w:w="584"/>
              <w:gridCol w:w="584"/>
            </w:tblGrid>
            <w:tr w:rsidR="005B6399" w:rsidRPr="008768B1" w:rsidTr="005B6399">
              <w:trPr>
                <w:trHeight w:val="269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Кол-во комнат/Кол-во человек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5 и более</w:t>
                  </w:r>
                </w:p>
              </w:tc>
            </w:tr>
            <w:tr w:rsidR="005B6399" w:rsidRPr="008768B1" w:rsidTr="005B6399">
              <w:trPr>
                <w:trHeight w:val="399"/>
              </w:trPr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5B6399" w:rsidRPr="008768B1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255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86</w:t>
                  </w:r>
                </w:p>
              </w:tc>
            </w:tr>
            <w:tr w:rsidR="005B6399" w:rsidRPr="008768B1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187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102</w:t>
                  </w:r>
                </w:p>
              </w:tc>
            </w:tr>
            <w:tr w:rsidR="005B6399" w:rsidRPr="008768B1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112</w:t>
                  </w:r>
                </w:p>
              </w:tc>
            </w:tr>
            <w:tr w:rsidR="005B6399" w:rsidRPr="008768B1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 и более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350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217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8768B1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8768B1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119</w:t>
                  </w:r>
                </w:p>
              </w:tc>
            </w:tr>
          </w:tbl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</w:t>
            </w:r>
            <w:r w:rsidR="00506D86" w:rsidRPr="008768B1">
              <w:rPr>
                <w:sz w:val="18"/>
                <w:szCs w:val="18"/>
              </w:rPr>
              <w:t xml:space="preserve"> </w:t>
            </w:r>
            <w:r w:rsidRPr="008768B1">
              <w:rPr>
                <w:sz w:val="18"/>
                <w:szCs w:val="18"/>
              </w:rPr>
              <w:t>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 01.01.2015-30.06.2015 - 1403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  <w:p w:rsidR="005B6399" w:rsidRPr="008768B1" w:rsidRDefault="005B6399" w:rsidP="005B6399">
            <w:r w:rsidRPr="008768B1">
              <w:rPr>
                <w:rFonts w:ascii="Arial" w:hAnsi="Arial" w:cs="Arial"/>
                <w:sz w:val="18"/>
                <w:szCs w:val="18"/>
              </w:rPr>
              <w:t>С 01.07.2015-31.12.2015 -1514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тариф (цена)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</w:t>
            </w:r>
            <w:r w:rsidRPr="008768B1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</w:t>
            </w:r>
            <w:r w:rsidRPr="008768B1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Лицо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ОАО «Дальневосточная генерирующая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полное фирменное наименование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1434031363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ИНН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3/1/05314/5709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тариф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41/4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 края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Норматив потребления </w:t>
            </w:r>
            <w:r w:rsidRPr="008768B1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Норматив потребления </w:t>
            </w:r>
            <w:r w:rsidRPr="008768B1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0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0359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норматив потребления коммунальной услуги в жилых </w:t>
            </w:r>
            <w:r w:rsidRPr="008768B1">
              <w:rPr>
                <w:sz w:val="18"/>
                <w:szCs w:val="18"/>
              </w:rPr>
              <w:lastRenderedPageBreak/>
              <w:t>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8768B1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10.09.2012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325/</w:t>
            </w:r>
            <w:proofErr w:type="spellStart"/>
            <w:r w:rsidRPr="008768B1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</w:t>
            </w:r>
            <w:r w:rsidRPr="008768B1">
              <w:rPr>
                <w:sz w:val="18"/>
                <w:szCs w:val="18"/>
              </w:rPr>
              <w:lastRenderedPageBreak/>
              <w:t>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8768B1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8768B1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Водоснабжение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Куб.м</w:t>
            </w:r>
            <w:proofErr w:type="spellEnd"/>
            <w:r w:rsidRPr="008768B1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Водоснабжение</w:t>
            </w:r>
          </w:p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 01.01.15-30.06.15 -31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74</w:t>
            </w:r>
          </w:p>
          <w:p w:rsidR="005B6399" w:rsidRPr="008768B1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С 01.07.15-31.12.15 – 35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>07</w:t>
            </w:r>
          </w:p>
          <w:p w:rsidR="005B6399" w:rsidRPr="008768B1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 01.01.15-30.06.15 -26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04</w:t>
            </w:r>
          </w:p>
          <w:p w:rsidR="005B6399" w:rsidRPr="008768B1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8768B1">
              <w:rPr>
                <w:rFonts w:ascii="Arial" w:hAnsi="Arial" w:cs="Arial"/>
                <w:sz w:val="18"/>
                <w:szCs w:val="18"/>
              </w:rPr>
              <w:t>С 01.07.15-31.12.15 – 28</w:t>
            </w:r>
            <w:r w:rsidR="00506D86" w:rsidRPr="008768B1">
              <w:rPr>
                <w:rFonts w:ascii="Arial" w:hAnsi="Arial" w:cs="Arial"/>
                <w:sz w:val="18"/>
                <w:szCs w:val="18"/>
              </w:rPr>
              <w:t>.</w:t>
            </w:r>
            <w:r w:rsidRPr="008768B1">
              <w:rPr>
                <w:rFonts w:ascii="Arial" w:hAnsi="Arial" w:cs="Arial"/>
                <w:sz w:val="18"/>
                <w:szCs w:val="18"/>
              </w:rPr>
              <w:t>77</w:t>
            </w:r>
          </w:p>
          <w:p w:rsidR="005B6399" w:rsidRPr="008768B1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тариф (цена)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описание дифференциации тарифов в случаях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Лицо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МУП города Хабаровска «Водоканал»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полное фирменное наименование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2700001300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ИНН юридического лица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01.03.2015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договора на поставку коммунального ресурса с лицом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тариф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41/16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 края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</w:t>
            </w:r>
            <w:r w:rsidR="006E6734" w:rsidRPr="008768B1">
              <w:rPr>
                <w:sz w:val="18"/>
                <w:szCs w:val="18"/>
              </w:rPr>
              <w:t>Комитет</w:t>
            </w:r>
            <w:r w:rsidRPr="008768B1">
              <w:rPr>
                <w:sz w:val="18"/>
                <w:szCs w:val="18"/>
              </w:rPr>
              <w:t xml:space="preserve">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в</w:t>
            </w:r>
            <w:r w:rsidR="00506D86" w:rsidRPr="008768B1">
              <w:rPr>
                <w:sz w:val="18"/>
                <w:szCs w:val="18"/>
              </w:rPr>
              <w:t xml:space="preserve"> </w:t>
            </w:r>
            <w:r w:rsidRPr="008768B1">
              <w:rPr>
                <w:sz w:val="18"/>
                <w:szCs w:val="18"/>
              </w:rPr>
              <w:t>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7946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Куб.м</w:t>
            </w:r>
            <w:proofErr w:type="spellEnd"/>
            <w:r w:rsidRPr="008768B1">
              <w:rPr>
                <w:sz w:val="18"/>
                <w:szCs w:val="18"/>
              </w:rPr>
              <w:t>.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использования различных условий для </w:t>
            </w:r>
            <w:r w:rsidRPr="008768B1">
              <w:rPr>
                <w:sz w:val="18"/>
                <w:szCs w:val="18"/>
              </w:rPr>
              <w:lastRenderedPageBreak/>
              <w:t>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применения </w:t>
            </w:r>
            <w:r w:rsidRPr="008768B1">
              <w:rPr>
                <w:sz w:val="18"/>
                <w:szCs w:val="18"/>
              </w:rPr>
              <w:lastRenderedPageBreak/>
              <w:t>норматива.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0948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Куб.м</w:t>
            </w:r>
            <w:proofErr w:type="spellEnd"/>
            <w:r w:rsidRPr="008768B1">
              <w:rPr>
                <w:sz w:val="18"/>
                <w:szCs w:val="18"/>
              </w:rPr>
              <w:t xml:space="preserve">. в месяц на </w:t>
            </w:r>
            <w:proofErr w:type="spellStart"/>
            <w:r w:rsidRPr="008768B1">
              <w:rPr>
                <w:sz w:val="18"/>
                <w:szCs w:val="18"/>
              </w:rPr>
              <w:t>кв.м</w:t>
            </w:r>
            <w:proofErr w:type="spellEnd"/>
            <w:r w:rsidRPr="008768B1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8768B1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Нормативный правовой акт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устанавливающий норматив потребления коммунальной услуги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130-пр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нормативного правового акта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8768B1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принявшего акт органа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8768B1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8768B1" w:rsidRDefault="005B6399" w:rsidP="005B6399">
      <w:pPr>
        <w:pStyle w:val="ConsPlusDocList"/>
        <w:jc w:val="both"/>
        <w:rPr>
          <w:sz w:val="18"/>
          <w:szCs w:val="18"/>
        </w:rPr>
      </w:pPr>
    </w:p>
    <w:p w:rsidR="005B6399" w:rsidRPr="008768B1" w:rsidRDefault="005B6399" w:rsidP="005B6399"/>
    <w:p w:rsidR="005B6399" w:rsidRPr="008768B1" w:rsidRDefault="005B6399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8768B1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как для объектов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являющихся помещениями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так и для объектов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Сведения о передаче во владение и/или пользование общего имущества третьим лицам (заполняется в случае сдачи в аренду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передачи в безвозмездное пользование и т.п.) </w:t>
            </w:r>
            <w:hyperlink w:anchor="Par1631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если по договору установлена иная периодичность вознаграждения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--------------------------------</w:t>
      </w: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товариществ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8768B1">
          <w:rPr>
            <w:rStyle w:val="a3"/>
            <w:color w:val="0000FF"/>
            <w:sz w:val="18"/>
            <w:szCs w:val="18"/>
          </w:rPr>
          <w:t>&lt;*&gt;</w:t>
        </w:r>
      </w:hyperlink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8768B1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Владелец </w:t>
            </w:r>
            <w:r w:rsidRPr="008768B1">
              <w:rPr>
                <w:sz w:val="18"/>
                <w:szCs w:val="18"/>
              </w:rPr>
              <w:lastRenderedPageBreak/>
              <w:t>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Наименование </w:t>
            </w:r>
            <w:r w:rsidRPr="008768B1">
              <w:rPr>
                <w:sz w:val="18"/>
                <w:szCs w:val="18"/>
              </w:rPr>
              <w:lastRenderedPageBreak/>
              <w:t>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полное фирменное </w:t>
            </w:r>
            <w:r w:rsidRPr="008768B1">
              <w:rPr>
                <w:sz w:val="18"/>
                <w:szCs w:val="18"/>
              </w:rPr>
              <w:lastRenderedPageBreak/>
              <w:t>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--------------------------------</w:t>
      </w: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&lt;*&gt; Данные сведения раскрываются в случаях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предусмотренных подпунктом "ж" пункта 3 Стандарта.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8768B1">
          <w:rPr>
            <w:rStyle w:val="a3"/>
            <w:color w:val="0000FF"/>
            <w:sz w:val="18"/>
            <w:szCs w:val="18"/>
          </w:rPr>
          <w:t>&lt;*&gt;</w:t>
        </w:r>
      </w:hyperlink>
      <w:r w:rsidRPr="008768B1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8768B1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Реквизиты протокола общего собрания собственников помещений (дата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Протокол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Протокол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содержащего результат (решение) собрания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--------------------------------</w:t>
      </w: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товариществ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кооперативов.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Форма 2.8. Отчет об исполнении управляющей организацией договора управления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а также отчет о выполнении товариществом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кооперативом смет доходов и расходов за год</w:t>
      </w: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8768B1" w:rsidTr="00372CCF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N </w:t>
            </w:r>
            <w:proofErr w:type="spellStart"/>
            <w:r w:rsidRPr="008768B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на конец предыдущего отчетного периода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6247BF" w:rsidRPr="008768B1">
              <w:rPr>
                <w:sz w:val="18"/>
                <w:szCs w:val="18"/>
              </w:rPr>
              <w:t>6790293</w:t>
            </w:r>
            <w:r w:rsidRPr="008768B1">
              <w:rPr>
                <w:sz w:val="18"/>
                <w:szCs w:val="18"/>
              </w:rPr>
              <w:t>.</w:t>
            </w:r>
            <w:r w:rsidR="006247BF" w:rsidRPr="008768B1">
              <w:rPr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8768B1">
              <w:rPr>
                <w:sz w:val="18"/>
                <w:szCs w:val="18"/>
              </w:rPr>
              <w:lastRenderedPageBreak/>
              <w:t>текущий ремонт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денежных средств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6D1B7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6D1B7E" w:rsidRPr="008768B1">
              <w:rPr>
                <w:sz w:val="18"/>
                <w:szCs w:val="18"/>
              </w:rPr>
              <w:t>5754790</w:t>
            </w:r>
            <w:r w:rsidRPr="008768B1">
              <w:rPr>
                <w:sz w:val="18"/>
                <w:szCs w:val="18"/>
              </w:rPr>
              <w:t>.</w:t>
            </w:r>
            <w:r w:rsidR="006D1B7E" w:rsidRPr="008768B1">
              <w:rPr>
                <w:sz w:val="18"/>
                <w:szCs w:val="18"/>
              </w:rPr>
              <w:t>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6D1B7E" w:rsidRPr="008768B1">
              <w:rPr>
                <w:sz w:val="18"/>
                <w:szCs w:val="18"/>
              </w:rPr>
              <w:t>5754790</w:t>
            </w:r>
            <w:r w:rsidRPr="008768B1">
              <w:rPr>
                <w:sz w:val="18"/>
                <w:szCs w:val="18"/>
              </w:rPr>
              <w:t>.</w:t>
            </w:r>
            <w:r w:rsidR="006D1B7E" w:rsidRPr="008768B1">
              <w:rPr>
                <w:sz w:val="18"/>
                <w:szCs w:val="18"/>
              </w:rPr>
              <w:t>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полученных в течение отчетного периода от собственников/нанимателей помещений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полученных в течение отчетного периода по целевым взносам от собственников/ нанимателей помещений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поступивших в течение отчетного периода по полученным субсидиям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</w:t>
            </w:r>
            <w:r w:rsidRPr="008768B1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полученных в течение отчетного периода от использования общего имущества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полученных в течение отчетного периода по прочим поступлениям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6D1B7E" w:rsidRPr="008768B1">
              <w:rPr>
                <w:sz w:val="18"/>
                <w:szCs w:val="18"/>
              </w:rPr>
              <w:t>5754790</w:t>
            </w:r>
            <w:r w:rsidRPr="008768B1">
              <w:rPr>
                <w:sz w:val="18"/>
                <w:szCs w:val="18"/>
              </w:rPr>
              <w:t>.</w:t>
            </w:r>
            <w:r w:rsidR="006D1B7E" w:rsidRPr="008768B1">
              <w:rPr>
                <w:sz w:val="18"/>
                <w:szCs w:val="18"/>
              </w:rPr>
              <w:t>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8768B1">
              <w:rPr>
                <w:sz w:val="18"/>
                <w:szCs w:val="18"/>
              </w:rPr>
              <w:lastRenderedPageBreak/>
              <w:t>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6D1B7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6D1B7E" w:rsidRPr="008768B1">
              <w:rPr>
                <w:sz w:val="18"/>
                <w:szCs w:val="18"/>
              </w:rPr>
              <w:t>1035502</w:t>
            </w:r>
            <w:r w:rsidRPr="008768B1">
              <w:rPr>
                <w:sz w:val="18"/>
                <w:szCs w:val="18"/>
              </w:rPr>
              <w:t>.</w:t>
            </w:r>
            <w:r w:rsidR="006D1B7E" w:rsidRPr="008768B1">
              <w:rPr>
                <w:sz w:val="18"/>
                <w:szCs w:val="18"/>
              </w:rPr>
              <w:t>94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8768B1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работы (услуги)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Наименование работы (услуги)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наименование работы (услуги)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Количество поступивших </w:t>
            </w:r>
            <w:r w:rsidRPr="008768B1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Количество поступивших </w:t>
            </w:r>
            <w:r w:rsidRPr="008768B1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8768B1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платы за коммунальные услуги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на конец предыдущего </w:t>
            </w:r>
            <w:r w:rsidRPr="008768B1">
              <w:rPr>
                <w:sz w:val="18"/>
                <w:szCs w:val="18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вследствие внесения платы за коммунальные услуги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06D86" w:rsidP="00803D0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 </w:t>
            </w:r>
            <w:r w:rsidR="00803D03" w:rsidRPr="008768B1">
              <w:rPr>
                <w:sz w:val="18"/>
                <w:szCs w:val="18"/>
              </w:rPr>
              <w:t>1636553</w:t>
            </w:r>
            <w:r w:rsidRPr="008768B1">
              <w:rPr>
                <w:sz w:val="18"/>
                <w:szCs w:val="18"/>
              </w:rPr>
              <w:t>.</w:t>
            </w:r>
            <w:r w:rsidR="00803D03" w:rsidRPr="008768B1">
              <w:rPr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2F5AB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2F5AB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нат</w:t>
            </w:r>
            <w:proofErr w:type="spellEnd"/>
            <w:r w:rsidRPr="008768B1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2F5AB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638107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8438F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1478871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8438F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1247223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8438F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231647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73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8438F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1478871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8438F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1478871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уплаченных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количество удовлетворенных претензий за отчетный период по качеству выполненных работ </w:t>
            </w:r>
            <w:r w:rsidRPr="008768B1">
              <w:rPr>
                <w:sz w:val="18"/>
                <w:szCs w:val="18"/>
              </w:rP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8768B1" w:rsidTr="00372CC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8768B1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Куб.м</w:t>
            </w:r>
            <w:proofErr w:type="spellEnd"/>
            <w:r w:rsidRPr="008768B1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нат</w:t>
            </w:r>
            <w:proofErr w:type="spellEnd"/>
            <w:r w:rsidRPr="008768B1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32330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общий объем потребления коммунального ресурса за отчетный </w:t>
            </w:r>
            <w:r w:rsidRPr="008768B1">
              <w:rPr>
                <w:sz w:val="18"/>
                <w:szCs w:val="18"/>
              </w:rP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1056165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868258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187906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82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1056165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860669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195496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</w:t>
            </w:r>
            <w:r w:rsidRPr="008768B1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</w:t>
            </w:r>
            <w:r w:rsidRPr="008768B1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уплаченных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пени и штрафов за поставку коммунального </w:t>
            </w:r>
            <w:r w:rsidRPr="008768B1">
              <w:rPr>
                <w:sz w:val="18"/>
                <w:szCs w:val="18"/>
              </w:rPr>
              <w:lastRenderedPageBreak/>
              <w:t>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768B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</w:t>
            </w:r>
            <w:r w:rsidRPr="008768B1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</w:t>
            </w:r>
            <w:r w:rsidRPr="008768B1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общая сумма полученных </w:t>
            </w:r>
            <w:r w:rsidRPr="008768B1">
              <w:rPr>
                <w:sz w:val="18"/>
                <w:szCs w:val="18"/>
              </w:rPr>
              <w:lastRenderedPageBreak/>
              <w:t xml:space="preserve">денежных средств от потребителей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8438F0" w:rsidRPr="008768B1" w:rsidRDefault="008438F0" w:rsidP="008438F0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Куб.м</w:t>
            </w:r>
            <w:proofErr w:type="spellEnd"/>
            <w:r w:rsidRPr="008768B1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нат</w:t>
            </w:r>
            <w:proofErr w:type="spellEnd"/>
            <w:r w:rsidRPr="008768B1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33863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095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866462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710205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82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156256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866462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705155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161307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уплаченных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Направлено претензий </w:t>
            </w:r>
            <w:r w:rsidRPr="008768B1">
              <w:rPr>
                <w:sz w:val="18"/>
                <w:szCs w:val="18"/>
              </w:rPr>
              <w:lastRenderedPageBreak/>
              <w:t>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</w:t>
            </w:r>
            <w:r w:rsidRPr="008768B1">
              <w:rPr>
                <w:sz w:val="18"/>
                <w:szCs w:val="18"/>
              </w:rPr>
              <w:lastRenderedPageBreak/>
              <w:t>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768B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</w:t>
            </w:r>
            <w:r w:rsidRPr="008768B1">
              <w:rPr>
                <w:sz w:val="18"/>
                <w:szCs w:val="18"/>
              </w:rPr>
              <w:lastRenderedPageBreak/>
              <w:t>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8438F0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8F0" w:rsidRPr="008768B1" w:rsidRDefault="008438F0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8438F0" w:rsidRPr="008768B1" w:rsidRDefault="008438F0" w:rsidP="008438F0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D32F91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8768B1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8768B1">
              <w:rPr>
                <w:sz w:val="18"/>
                <w:szCs w:val="18"/>
              </w:rPr>
              <w:t>нат</w:t>
            </w:r>
            <w:proofErr w:type="spellEnd"/>
            <w:r w:rsidRPr="008768B1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2897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4201642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3140900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1060742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4201642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товариществу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3577270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оплаченных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624372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товарищества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Размер пени и штрафов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общий размер уплаченных управляющей организацией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товариществом</w:t>
            </w:r>
            <w:r w:rsidR="00506D86" w:rsidRPr="008768B1">
              <w:rPr>
                <w:sz w:val="18"/>
                <w:szCs w:val="18"/>
              </w:rPr>
              <w:t>.</w:t>
            </w:r>
            <w:r w:rsidRPr="008768B1">
              <w:rPr>
                <w:sz w:val="18"/>
                <w:szCs w:val="18"/>
              </w:rPr>
              <w:t xml:space="preserve">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</w:t>
            </w:r>
            <w:r w:rsidRPr="008768B1">
              <w:rPr>
                <w:sz w:val="18"/>
                <w:szCs w:val="18"/>
              </w:rPr>
              <w:lastRenderedPageBreak/>
              <w:t>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lastRenderedPageBreak/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Количество претензий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количество претензий потребителей за отчетный период по качеству выполненных работ (оказанных </w:t>
            </w:r>
            <w:r w:rsidRPr="008768B1">
              <w:rPr>
                <w:sz w:val="18"/>
                <w:szCs w:val="18"/>
              </w:rPr>
              <w:lastRenderedPageBreak/>
              <w:t>услуг)</w:t>
            </w:r>
            <w:proofErr w:type="gramStart"/>
            <w:r w:rsidR="00506D86" w:rsidRPr="008768B1">
              <w:rPr>
                <w:sz w:val="18"/>
                <w:szCs w:val="18"/>
              </w:rPr>
              <w:t>.</w:t>
            </w:r>
            <w:proofErr w:type="gramEnd"/>
            <w:r w:rsidRPr="008768B1">
              <w:rPr>
                <w:sz w:val="18"/>
                <w:szCs w:val="18"/>
              </w:rPr>
              <w:t xml:space="preserve">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8768B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2F91" w:rsidRPr="008768B1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rPr>
                <w:sz w:val="18"/>
                <w:szCs w:val="18"/>
              </w:rPr>
            </w:pPr>
            <w:r w:rsidRPr="008768B1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8768B1">
              <w:rPr>
                <w:sz w:val="18"/>
                <w:szCs w:val="18"/>
              </w:rPr>
              <w:t>претензионно</w:t>
            </w:r>
            <w:proofErr w:type="spellEnd"/>
            <w:r w:rsidRPr="008768B1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F91" w:rsidRPr="008768B1" w:rsidRDefault="00D32F91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D32F91" w:rsidRPr="008768B1" w:rsidRDefault="00D32F91" w:rsidP="00D32F91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8768B1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--------------------------------</w:t>
      </w:r>
    </w:p>
    <w:p w:rsidR="005E584C" w:rsidRPr="000E357C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8768B1">
        <w:rPr>
          <w:sz w:val="18"/>
          <w:szCs w:val="18"/>
        </w:rPr>
        <w:t>&lt;*&gt; Данные сведения раскрываются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если организация</w:t>
      </w:r>
      <w:proofErr w:type="gramStart"/>
      <w:r w:rsidR="00506D86" w:rsidRPr="008768B1">
        <w:rPr>
          <w:sz w:val="18"/>
          <w:szCs w:val="18"/>
        </w:rPr>
        <w:t>.</w:t>
      </w:r>
      <w:proofErr w:type="gramEnd"/>
      <w:r w:rsidRPr="008768B1">
        <w:rPr>
          <w:sz w:val="18"/>
          <w:szCs w:val="18"/>
        </w:rPr>
        <w:t xml:space="preserve"> осуществляющая управление многоквартирным домом</w:t>
      </w:r>
      <w:r w:rsidR="00506D86" w:rsidRPr="008768B1">
        <w:rPr>
          <w:sz w:val="18"/>
          <w:szCs w:val="18"/>
        </w:rPr>
        <w:t>.</w:t>
      </w:r>
      <w:r w:rsidRPr="008768B1">
        <w:rPr>
          <w:sz w:val="18"/>
          <w:szCs w:val="18"/>
        </w:rPr>
        <w:t xml:space="preserve"> является исполнителем коммунальной услуги для потребителей в многоквартирном доме.</w:t>
      </w:r>
      <w:bookmarkStart w:id="2" w:name="_GoBack"/>
      <w:bookmarkEnd w:id="2"/>
    </w:p>
    <w:sectPr w:rsidR="005E584C" w:rsidRPr="000E35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47" w:rsidRDefault="008B4947">
      <w:r>
        <w:separator/>
      </w:r>
    </w:p>
  </w:endnote>
  <w:endnote w:type="continuationSeparator" w:id="0">
    <w:p w:rsidR="008B4947" w:rsidRDefault="008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86" w:rsidRDefault="00506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86" w:rsidRDefault="00506D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86" w:rsidRDefault="00506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47" w:rsidRDefault="008B4947">
      <w:r>
        <w:separator/>
      </w:r>
    </w:p>
  </w:footnote>
  <w:footnote w:type="continuationSeparator" w:id="0">
    <w:p w:rsidR="008B4947" w:rsidRDefault="008B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86" w:rsidRDefault="00506D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86" w:rsidRDefault="00506D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21916"/>
    <w:rsid w:val="00073CE2"/>
    <w:rsid w:val="000E136B"/>
    <w:rsid w:val="000E357C"/>
    <w:rsid w:val="00184A03"/>
    <w:rsid w:val="001C5FA2"/>
    <w:rsid w:val="0021667F"/>
    <w:rsid w:val="00224CB1"/>
    <w:rsid w:val="002843BD"/>
    <w:rsid w:val="002B4C1B"/>
    <w:rsid w:val="002B6F34"/>
    <w:rsid w:val="002F050B"/>
    <w:rsid w:val="002F4E7B"/>
    <w:rsid w:val="002F5ABD"/>
    <w:rsid w:val="00315340"/>
    <w:rsid w:val="00331CF5"/>
    <w:rsid w:val="00335392"/>
    <w:rsid w:val="00352443"/>
    <w:rsid w:val="0036212D"/>
    <w:rsid w:val="00372CCF"/>
    <w:rsid w:val="00375836"/>
    <w:rsid w:val="0037702D"/>
    <w:rsid w:val="0039269B"/>
    <w:rsid w:val="003B3322"/>
    <w:rsid w:val="003D1E2D"/>
    <w:rsid w:val="003E3CB5"/>
    <w:rsid w:val="003F4E78"/>
    <w:rsid w:val="00474F17"/>
    <w:rsid w:val="00484C9B"/>
    <w:rsid w:val="00487BCB"/>
    <w:rsid w:val="004A754C"/>
    <w:rsid w:val="004B3810"/>
    <w:rsid w:val="004C61FC"/>
    <w:rsid w:val="004D24A7"/>
    <w:rsid w:val="004E07F4"/>
    <w:rsid w:val="00505BE9"/>
    <w:rsid w:val="00506D86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7036"/>
    <w:rsid w:val="00693BB5"/>
    <w:rsid w:val="006C6F09"/>
    <w:rsid w:val="006D1B7E"/>
    <w:rsid w:val="006D1FA4"/>
    <w:rsid w:val="006E6734"/>
    <w:rsid w:val="00715D00"/>
    <w:rsid w:val="00781C62"/>
    <w:rsid w:val="007A237A"/>
    <w:rsid w:val="007C108C"/>
    <w:rsid w:val="007C3380"/>
    <w:rsid w:val="00802209"/>
    <w:rsid w:val="00803D03"/>
    <w:rsid w:val="008337F4"/>
    <w:rsid w:val="008438F0"/>
    <w:rsid w:val="008768B1"/>
    <w:rsid w:val="008B4947"/>
    <w:rsid w:val="008E00DE"/>
    <w:rsid w:val="00912926"/>
    <w:rsid w:val="0091742D"/>
    <w:rsid w:val="009771F2"/>
    <w:rsid w:val="009906B2"/>
    <w:rsid w:val="009A76B3"/>
    <w:rsid w:val="009C2AFE"/>
    <w:rsid w:val="009D7FDE"/>
    <w:rsid w:val="00A548B0"/>
    <w:rsid w:val="00A90AC7"/>
    <w:rsid w:val="00AB1402"/>
    <w:rsid w:val="00AE72B3"/>
    <w:rsid w:val="00B06977"/>
    <w:rsid w:val="00B11B6D"/>
    <w:rsid w:val="00B3007F"/>
    <w:rsid w:val="00B47858"/>
    <w:rsid w:val="00C250BE"/>
    <w:rsid w:val="00C76E7C"/>
    <w:rsid w:val="00C77DEF"/>
    <w:rsid w:val="00C95485"/>
    <w:rsid w:val="00CC6EEC"/>
    <w:rsid w:val="00D32F91"/>
    <w:rsid w:val="00D71272"/>
    <w:rsid w:val="00DB0ACB"/>
    <w:rsid w:val="00DC03F5"/>
    <w:rsid w:val="00E00DD5"/>
    <w:rsid w:val="00E3538A"/>
    <w:rsid w:val="00E51DB0"/>
    <w:rsid w:val="00E8463A"/>
    <w:rsid w:val="00E84AD1"/>
    <w:rsid w:val="00E85D98"/>
    <w:rsid w:val="00EC609E"/>
    <w:rsid w:val="00EE4EB9"/>
    <w:rsid w:val="00F57B99"/>
    <w:rsid w:val="00F930A9"/>
    <w:rsid w:val="00FB3F5B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96F3D3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8570-F77B-4F95-9626-9E89F33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10699</Words>
  <Characters>60987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8</cp:revision>
  <cp:lastPrinted>2016-03-31T06:02:00Z</cp:lastPrinted>
  <dcterms:created xsi:type="dcterms:W3CDTF">2016-04-02T08:55:00Z</dcterms:created>
  <dcterms:modified xsi:type="dcterms:W3CDTF">2016-04-04T01:18:00Z</dcterms:modified>
</cp:coreProperties>
</file>